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 w:beforeLines="0" w:beforeAutospacing="0" w:after="0" w:afterLines="0" w:afterAutospacing="0" w:line="293" w:lineRule="auto"/>
        <w:ind w:firstLine="480" w:firstLineChars="200"/>
        <w:jc w:val="both"/>
        <w:outlineLvl w:val="1"/>
        <w:rPr>
          <w:rFonts w:hint="eastAsia" w:ascii="Arial" w:hAnsi="Arial" w:eastAsia="宋体" w:cs="Times New Roman"/>
          <w:kern w:val="0"/>
          <w:sz w:val="24"/>
          <w:lang w:val="en-US" w:eastAsia="zh-CN" w:bidi="ar-SA"/>
        </w:rPr>
      </w:pPr>
      <w:r>
        <w:rPr>
          <w:rFonts w:hint="eastAsia" w:ascii="Arial" w:hAnsi="Arial" w:eastAsia="宋体" w:cs="Times New Roman"/>
          <w:kern w:val="0"/>
          <w:sz w:val="24"/>
          <w:lang w:val="en-US" w:eastAsia="zh-CN" w:bidi="ar-SA"/>
        </w:rPr>
        <w:t>项目需求书</w:t>
      </w:r>
    </w:p>
    <w:p>
      <w:pPr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本项目标的所属行业为</w:t>
      </w:r>
      <w:r>
        <w:rPr>
          <w:rFonts w:hint="eastAsia" w:ascii="宋体" w:hAnsi="宋体" w:cs="宋体"/>
          <w:u w:val="single"/>
        </w:rPr>
        <w:t>工业</w:t>
      </w:r>
    </w:p>
    <w:p>
      <w:pPr>
        <w:ind w:firstLine="0" w:firstLineChars="0"/>
        <w:rPr>
          <w:rFonts w:hint="eastAsia" w:ascii="宋体" w:hAnsi="宋体" w:cs="宋体"/>
          <w:szCs w:val="24"/>
        </w:rPr>
      </w:pPr>
      <w:r>
        <w:rPr>
          <w:rFonts w:hint="eastAsia" w:ascii="宋体" w:hAnsi="宋体"/>
          <w:spacing w:val="10"/>
          <w:szCs w:val="24"/>
        </w:rPr>
        <w:t>一、招标货物名称、数量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33"/>
        <w:gridCol w:w="54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8" w:type="dxa"/>
            <w:noWrap/>
            <w:vAlign w:val="top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包号</w:t>
            </w:r>
          </w:p>
        </w:tc>
        <w:tc>
          <w:tcPr>
            <w:tcW w:w="1833" w:type="dxa"/>
            <w:noWrap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货物名称</w:t>
            </w:r>
          </w:p>
        </w:tc>
        <w:tc>
          <w:tcPr>
            <w:tcW w:w="5400" w:type="dxa"/>
            <w:noWrap/>
            <w:vAlign w:val="top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技术要求</w:t>
            </w:r>
          </w:p>
        </w:tc>
        <w:tc>
          <w:tcPr>
            <w:tcW w:w="930" w:type="dxa"/>
            <w:noWrap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1833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教学用自动驾驶摆渡车套装</w:t>
            </w:r>
          </w:p>
        </w:tc>
        <w:tc>
          <w:tcPr>
            <w:tcW w:w="5400" w:type="dxa"/>
            <w:noWrap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底盘尺寸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外形尺寸（长*宽*高）不小于3000*1600*1800mm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额定载员不小于4人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轴距不小于2000mm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前后轮距不小于1400mm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转弯半径不大于5.5m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最大爬坡度不小于30%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最高车速不小于25km/h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三电系统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动力电池采用铅酸电池，容量不小于5KWH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驱动电机功率不小于3.5kw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电机控制器具备线控功能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转向系统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管柱式转向总成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具备“人工驾驶”和“自动驾驶”两种工作模式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两种工作模式可相互切换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“人工驾驶”优先级高于“自动驾驶”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人工驾驶模式下，具备助力功能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自动驾驶模式下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转向精度不低于1</w:t>
            </w:r>
            <w:r>
              <w:rPr>
                <w:rFonts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转向速度不低于450</w:t>
            </w:r>
            <w:r>
              <w:rPr>
                <w:rFonts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°</w:t>
            </w:r>
            <w:r>
              <w:rPr>
                <w:rFonts w:hint="eastAsia"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/s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响应时间不大于10ms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</w:t>
            </w:r>
            <w:r>
              <w:rPr>
                <w:rFonts w:hint="eastAsia"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角度控制指令可实时更新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★转向系统在电子助力工作模式下的“输入输出特性曲线”满足国家行业标准《汽车电动助力转向装置技术要求和试验方法》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5.2.2.1章节要求；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★转向系统在电子助力工作模式下的“助力电流特性曲线”满足国家行业标准《汽车电动助力转向装置技术要求和试验方法》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5.2.3.1章节要求；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行车制动系统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行车制动系统采用液压型式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具备“人工驾驶”和“自动驾驶”两种工作模式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人工驾驶模式下，具备助力能力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自动驾驶模式下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最大输出压力不小于8MPa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输出压力精度不小于5%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行车制动系统响应时间不大于200ms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★可进行周期不大于500ms、连续制动次数不小于40次的连续制动操作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★最大制动力输出状态下，制动压力保持时间不小于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20分钟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底盘线控系统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提供1路直流12V，功率大于250W的外部供电接口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提供1路CAN总线控制接口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线控底盘线控节点包括如下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横向控制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纵向控制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定速巡航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油门/档位/电池电压/灯光/鸣笛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线控底盘控制协议可根据学校需求定制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车机系统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处理器规格不低于Intel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Core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i5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内存容量不小于16G，S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SD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硬盘容量不小于128G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千兆以太网接口不少于1路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USB3.0接口不少于4路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9~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24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VDC宽压输入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传感器系统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配置1台16线激光雷达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TOF 法测距16 通道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测距不小于50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米（目标反射率20%）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精度：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+/- 2cm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视角（垂直）：±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15°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角分辨率：（垂直）：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2°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视角（水平）：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360°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角分辨率（水平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/方位角）：0.09°（5Hz）至0.36°（20Hz）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转速：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300/600/1200rpm（5/10/20Hz）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Class 1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波长：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905nm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激光发射角（全角）：水平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7.4mrad，垂直0.7mrad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百兆以太网数据接口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功耗不大于10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w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配置1台三模差分GPS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信号：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BD B1,B2,B3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GPS L1/L2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GLONASS L1/L2, SBAS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通道：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372 通道灵敏度：-142dBm 速率：10Hz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速度精度：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0.03 m/s (RMS)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1米天线间距下的航向精度不低于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0.10°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俯仰/横滚精度 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不低于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1°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冷启动时间：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&lt; 60 s 典型值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温启动 ：&lt; 30 s  典型值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热启动 ：&lt; 10 s 典型值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1路RS232控制口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1路RS232差分口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差分格式：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RTCM v2.3(DGPS), RTCM v3(RTK), CMR(RTK)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工作温度：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-40°C ~ +75°C 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输入电压：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9~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16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V DC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12V供电下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功 耗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不大于10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W 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1台6通道超声波雷达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测距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通道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不小于4通道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工作频率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40KHz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探测距离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0.3~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1.5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m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工作电压9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~1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6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VDC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工作温度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-20</w:t>
            </w:r>
            <w:r>
              <w:rPr>
                <w:rFonts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℃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~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0</w:t>
            </w:r>
            <w:r>
              <w:rPr>
                <w:rFonts w:ascii="Calibri" w:hAnsi="Calibri" w:eastAsia="Calibri" w:cs="Times New Roman"/>
                <w:kern w:val="2"/>
                <w:sz w:val="22"/>
                <w:szCs w:val="24"/>
                <w:lang w:val="en-US" w:eastAsia="zh-CN" w:bidi="ar-SA"/>
              </w:rPr>
              <w:t>℃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自动驾驶软件开发资源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源代码开放的开发实例至少包含如下内容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RTK循迹/停障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RTK循迹/绕障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激光雷达</w:t>
            </w: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SLAM循迹，无障碍物探测功能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激光雷达SLAM循迹/停障</w:t>
            </w:r>
          </w:p>
          <w:p>
            <w:pPr>
              <w:widowControl w:val="0"/>
              <w:numPr>
                <w:ilvl w:val="2"/>
                <w:numId w:val="1"/>
              </w:numPr>
              <w:spacing w:line="240" w:lineRule="auto"/>
              <w:ind w:left="126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激光雷达SLAM循迹/绕障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基于混合导航的公交运营模式演示软件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自动驾驶教学资源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公开出版教材1部</w:t>
            </w:r>
          </w:p>
          <w:p>
            <w:pPr>
              <w:widowControl w:val="0"/>
              <w:numPr>
                <w:ilvl w:val="1"/>
                <w:numId w:val="1"/>
              </w:numPr>
              <w:spacing w:line="240" w:lineRule="auto"/>
              <w:ind w:left="840" w:hanging="42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★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  <w:t>不少于16个实验的实验指导书和实验手册</w:t>
            </w:r>
          </w:p>
        </w:tc>
        <w:tc>
          <w:tcPr>
            <w:tcW w:w="930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</w:p>
        </w:tc>
      </w:tr>
    </w:tbl>
    <w:p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以上加</w:t>
      </w:r>
      <w:r>
        <w:rPr>
          <w:rFonts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★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的为实质性技术指标，投标人有一项不满足的即为无效投标，但可以高于标书要求。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818F6"/>
    <w:multiLevelType w:val="multilevel"/>
    <w:tmpl w:val="360818F6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1048"/>
    <w:rsid w:val="6E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93" w:lineRule="auto"/>
      <w:outlineLvl w:val="1"/>
    </w:pPr>
    <w:rPr>
      <w:rFonts w:ascii="Arial" w:hAnsi="Arial"/>
      <w:kern w:val="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2021-11-29T08:49:00Z</dcterms:created>
  <dc:creator>曉闌</dc:creator>
  <cp:lastModifiedBy>曉闌</cp:lastModifiedBy>
  <dcterms:modified xsi:type="dcterms:W3CDTF">2021-11-29T08:49:57Z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E488E451DF774C31BF9C6003D5151D38</vt:lpwstr>
  </property>
</Properties>
</file>